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806" w:rsidRPr="009378DF" w:rsidRDefault="00555806" w:rsidP="00555806">
      <w:pPr>
        <w:rPr>
          <w:rFonts w:ascii="彩虹粗仿宋" w:eastAsia="彩虹粗仿宋"/>
          <w:b/>
          <w:color w:val="000000"/>
          <w:sz w:val="32"/>
          <w:szCs w:val="32"/>
        </w:rPr>
      </w:pPr>
      <w:r w:rsidRPr="00EE774A">
        <w:rPr>
          <w:rFonts w:ascii="彩虹粗仿宋" w:eastAsia="彩虹粗仿宋" w:hint="eastAsia"/>
          <w:b/>
          <w:color w:val="000000"/>
          <w:sz w:val="32"/>
          <w:szCs w:val="32"/>
        </w:rPr>
        <w:t>附件</w:t>
      </w:r>
      <w:r>
        <w:rPr>
          <w:rFonts w:ascii="彩虹粗仿宋" w:eastAsia="彩虹粗仿宋" w:hint="eastAsia"/>
          <w:b/>
          <w:color w:val="000000"/>
          <w:sz w:val="32"/>
          <w:szCs w:val="32"/>
        </w:rPr>
        <w:t>8</w:t>
      </w:r>
    </w:p>
    <w:p w:rsidR="00555806" w:rsidRDefault="00555806" w:rsidP="00555806">
      <w:pPr>
        <w:jc w:val="center"/>
        <w:rPr>
          <w:b/>
          <w:color w:val="000000"/>
          <w:sz w:val="32"/>
          <w:szCs w:val="32"/>
        </w:rPr>
      </w:pPr>
      <w:r w:rsidRPr="009378DF">
        <w:rPr>
          <w:rFonts w:hint="eastAsia"/>
          <w:b/>
          <w:color w:val="000000"/>
          <w:sz w:val="32"/>
          <w:szCs w:val="32"/>
        </w:rPr>
        <w:t>“乾元—满溢”</w:t>
      </w:r>
      <w:r w:rsidRPr="009378DF">
        <w:rPr>
          <w:rFonts w:hint="eastAsia"/>
          <w:b/>
          <w:color w:val="000000"/>
          <w:sz w:val="32"/>
          <w:szCs w:val="32"/>
        </w:rPr>
        <w:t>3</w:t>
      </w:r>
      <w:r>
        <w:rPr>
          <w:rFonts w:hint="eastAsia"/>
          <w:b/>
          <w:color w:val="000000"/>
          <w:sz w:val="32"/>
          <w:szCs w:val="32"/>
        </w:rPr>
        <w:t>6</w:t>
      </w:r>
      <w:r w:rsidRPr="009378DF">
        <w:rPr>
          <w:rFonts w:hint="eastAsia"/>
          <w:b/>
          <w:color w:val="000000"/>
          <w:sz w:val="32"/>
          <w:szCs w:val="32"/>
        </w:rPr>
        <w:t>0</w:t>
      </w:r>
      <w:r w:rsidRPr="009378DF">
        <w:rPr>
          <w:rFonts w:hint="eastAsia"/>
          <w:b/>
          <w:color w:val="000000"/>
          <w:sz w:val="32"/>
          <w:szCs w:val="32"/>
        </w:rPr>
        <w:t>天开放式资产组合型人民币理财产品</w:t>
      </w:r>
    </w:p>
    <w:p w:rsidR="00555806" w:rsidRPr="00EE774A" w:rsidRDefault="00555806" w:rsidP="00555806">
      <w:pPr>
        <w:jc w:val="center"/>
        <w:rPr>
          <w:b/>
          <w:color w:val="000000"/>
          <w:sz w:val="32"/>
          <w:szCs w:val="32"/>
        </w:rPr>
      </w:pPr>
      <w:r w:rsidRPr="009378DF">
        <w:rPr>
          <w:rFonts w:hint="eastAsia"/>
          <w:b/>
          <w:color w:val="000000"/>
          <w:sz w:val="32"/>
          <w:szCs w:val="32"/>
        </w:rPr>
        <w:t>（机构版）</w:t>
      </w:r>
      <w:r w:rsidRPr="00EE774A">
        <w:rPr>
          <w:rFonts w:hint="eastAsia"/>
          <w:b/>
          <w:color w:val="000000"/>
          <w:sz w:val="32"/>
          <w:szCs w:val="32"/>
        </w:rPr>
        <w:t>月度投资管理报告</w:t>
      </w:r>
    </w:p>
    <w:p w:rsidR="00555806" w:rsidRPr="00EE774A" w:rsidRDefault="00555806" w:rsidP="00555806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EE774A">
        <w:rPr>
          <w:rFonts w:ascii="宋体" w:hAnsi="宋体" w:hint="eastAsia"/>
          <w:color w:val="000000"/>
          <w:szCs w:val="21"/>
        </w:rPr>
        <w:t>报告日：201</w:t>
      </w:r>
      <w:r w:rsidR="00035553">
        <w:rPr>
          <w:rFonts w:ascii="宋体" w:hAnsi="宋体" w:hint="eastAsia"/>
          <w:color w:val="000000"/>
          <w:szCs w:val="21"/>
        </w:rPr>
        <w:t>8</w:t>
      </w:r>
      <w:r w:rsidRPr="00EE774A">
        <w:rPr>
          <w:rFonts w:ascii="宋体" w:hAnsi="宋体" w:hint="eastAsia"/>
          <w:color w:val="000000"/>
          <w:szCs w:val="21"/>
        </w:rPr>
        <w:t>年</w:t>
      </w:r>
      <w:r w:rsidR="006647B4">
        <w:rPr>
          <w:rFonts w:ascii="宋体" w:hAnsi="宋体" w:hint="eastAsia"/>
          <w:color w:val="000000"/>
          <w:szCs w:val="21"/>
        </w:rPr>
        <w:t>10</w:t>
      </w:r>
      <w:r>
        <w:rPr>
          <w:rFonts w:ascii="宋体" w:hAnsi="宋体" w:hint="eastAsia"/>
          <w:color w:val="000000"/>
          <w:szCs w:val="21"/>
        </w:rPr>
        <w:t>月</w:t>
      </w:r>
      <w:r w:rsidR="006647B4">
        <w:rPr>
          <w:rFonts w:ascii="宋体" w:hAnsi="宋体" w:hint="eastAsia"/>
          <w:color w:val="000000"/>
          <w:szCs w:val="21"/>
        </w:rPr>
        <w:t>31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55806" w:rsidRPr="000A55B8" w:rsidRDefault="00555806" w:rsidP="0051717D">
      <w:pPr>
        <w:ind w:firstLine="420"/>
        <w:rPr>
          <w:rFonts w:ascii="宋体" w:hAnsi="宋体"/>
          <w:color w:val="000000"/>
          <w:sz w:val="28"/>
          <w:szCs w:val="28"/>
        </w:rPr>
      </w:pPr>
      <w:r w:rsidRPr="000A55B8">
        <w:rPr>
          <w:rFonts w:ascii="宋体" w:hAnsi="宋体" w:hint="eastAsia"/>
          <w:color w:val="000000"/>
          <w:sz w:val="28"/>
          <w:szCs w:val="28"/>
        </w:rPr>
        <w:t>“乾元—满溢”3</w:t>
      </w:r>
      <w:r>
        <w:rPr>
          <w:rFonts w:ascii="宋体" w:hAnsi="宋体" w:hint="eastAsia"/>
          <w:color w:val="000000"/>
          <w:sz w:val="28"/>
          <w:szCs w:val="28"/>
        </w:rPr>
        <w:t>6</w:t>
      </w:r>
      <w:r w:rsidRPr="000A55B8">
        <w:rPr>
          <w:rFonts w:ascii="宋体" w:hAnsi="宋体" w:hint="eastAsia"/>
          <w:color w:val="000000"/>
          <w:sz w:val="28"/>
          <w:szCs w:val="28"/>
        </w:rPr>
        <w:t>0天开放式资产组合型人民币理财产品（机构版）</w:t>
      </w:r>
      <w:r w:rsidRPr="00EE774A">
        <w:rPr>
          <w:rFonts w:ascii="宋体" w:hAnsi="宋体" w:hint="eastAsia"/>
          <w:color w:val="000000"/>
          <w:sz w:val="28"/>
          <w:szCs w:val="28"/>
        </w:rPr>
        <w:t>于201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9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15</w:t>
      </w:r>
      <w:r w:rsidRPr="00EE774A">
        <w:rPr>
          <w:rFonts w:ascii="宋体" w:hAnsi="宋体" w:hint="eastAsia"/>
          <w:color w:val="000000"/>
          <w:sz w:val="28"/>
          <w:szCs w:val="28"/>
        </w:rPr>
        <w:t>日正式成立。截至报告日，本产品规模为</w:t>
      </w:r>
      <w:r w:rsidR="00636BCA" w:rsidRPr="00636BCA">
        <w:rPr>
          <w:rFonts w:ascii="宋体" w:hAnsi="宋体" w:hint="eastAsia"/>
          <w:color w:val="000000"/>
          <w:sz w:val="28"/>
          <w:szCs w:val="28"/>
        </w:rPr>
        <w:t>1,191,750,000.00</w:t>
      </w:r>
      <w:r w:rsidR="009D7DB3">
        <w:rPr>
          <w:rFonts w:ascii="宋体" w:hAnsi="宋体" w:hint="eastAsia"/>
          <w:color w:val="000000"/>
          <w:sz w:val="28"/>
          <w:szCs w:val="28"/>
        </w:rPr>
        <w:t>元。</w:t>
      </w:r>
    </w:p>
    <w:p w:rsidR="00555806" w:rsidRPr="00812F4C" w:rsidRDefault="00555806" w:rsidP="00812F4C">
      <w:pPr>
        <w:ind w:firstLine="420"/>
        <w:rPr>
          <w:rFonts w:ascii="宋体" w:hAnsi="宋体"/>
          <w:b/>
          <w:color w:val="000000"/>
          <w:sz w:val="28"/>
          <w:szCs w:val="28"/>
        </w:rPr>
      </w:pPr>
      <w:r w:rsidRPr="00812F4C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636BCA" w:rsidRPr="00636BCA" w:rsidRDefault="00636BCA" w:rsidP="00636BCA">
      <w:pPr>
        <w:spacing w:line="5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中国建设银行</w:t>
      </w:r>
      <w:r w:rsidRPr="00636BCA">
        <w:rPr>
          <w:rFonts w:ascii="宋体" w:hAnsi="宋体" w:hint="eastAsia"/>
          <w:color w:val="000000"/>
          <w:sz w:val="28"/>
          <w:szCs w:val="28"/>
        </w:rPr>
        <w:t>于2018年10月25日（含）起，调整“乾元—满溢”360天开放式资产组合型人民币理财产品客户</w:t>
      </w:r>
      <w:proofErr w:type="gramStart"/>
      <w:r w:rsidRPr="00636BCA">
        <w:rPr>
          <w:rFonts w:ascii="宋体" w:hAnsi="宋体" w:hint="eastAsia"/>
          <w:color w:val="000000"/>
          <w:sz w:val="28"/>
          <w:szCs w:val="28"/>
        </w:rPr>
        <w:t>预期年化收益率</w:t>
      </w:r>
      <w:proofErr w:type="gramEnd"/>
      <w:r w:rsidRPr="00636BCA">
        <w:rPr>
          <w:rFonts w:ascii="宋体" w:hAnsi="宋体" w:hint="eastAsia"/>
          <w:color w:val="000000"/>
          <w:sz w:val="28"/>
          <w:szCs w:val="28"/>
        </w:rPr>
        <w:t>，具体如下表：</w:t>
      </w:r>
    </w:p>
    <w:p w:rsidR="00636BCA" w:rsidRPr="00636BCA" w:rsidRDefault="00636BCA" w:rsidP="00636BCA">
      <w:pPr>
        <w:adjustRightInd w:val="0"/>
        <w:snapToGrid w:val="0"/>
        <w:spacing w:line="20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</w:p>
    <w:tbl>
      <w:tblPr>
        <w:tblW w:w="35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1723"/>
        <w:gridCol w:w="1701"/>
      </w:tblGrid>
      <w:tr w:rsidR="00636BCA" w:rsidRPr="00636BCA" w:rsidTr="00636BCA">
        <w:trPr>
          <w:trHeight w:val="20"/>
          <w:tblHeader/>
          <w:jc w:val="center"/>
        </w:trPr>
        <w:tc>
          <w:tcPr>
            <w:tcW w:w="2610" w:type="dxa"/>
            <w:vAlign w:val="center"/>
            <w:hideMark/>
          </w:tcPr>
          <w:p w:rsidR="00636BCA" w:rsidRPr="00636BCA" w:rsidRDefault="00636BCA" w:rsidP="00D7180D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 w:rsidRPr="00636BCA">
              <w:rPr>
                <w:rFonts w:ascii="宋体" w:hAnsi="宋体" w:hint="eastAsia"/>
                <w:color w:val="000000"/>
                <w:sz w:val="24"/>
                <w:szCs w:val="28"/>
              </w:rPr>
              <w:t>产品名称</w:t>
            </w:r>
          </w:p>
        </w:tc>
        <w:tc>
          <w:tcPr>
            <w:tcW w:w="1723" w:type="dxa"/>
            <w:vAlign w:val="center"/>
            <w:hideMark/>
          </w:tcPr>
          <w:p w:rsidR="00636BCA" w:rsidRPr="00636BCA" w:rsidRDefault="00636BCA" w:rsidP="00D7180D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 w:rsidRPr="00636BCA">
              <w:rPr>
                <w:rFonts w:ascii="宋体" w:hAnsi="宋体" w:hint="eastAsia"/>
                <w:color w:val="000000"/>
                <w:sz w:val="24"/>
                <w:szCs w:val="28"/>
              </w:rPr>
              <w:t>客户</w:t>
            </w:r>
            <w:proofErr w:type="gramStart"/>
            <w:r w:rsidRPr="00636BCA">
              <w:rPr>
                <w:rFonts w:ascii="宋体" w:hAnsi="宋体" w:hint="eastAsia"/>
                <w:color w:val="000000"/>
                <w:sz w:val="24"/>
                <w:szCs w:val="28"/>
              </w:rPr>
              <w:t>预期年化收益率</w:t>
            </w:r>
            <w:proofErr w:type="gramEnd"/>
          </w:p>
          <w:p w:rsidR="00636BCA" w:rsidRPr="00636BCA" w:rsidRDefault="00636BCA" w:rsidP="00D7180D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 w:rsidRPr="00636BCA">
              <w:rPr>
                <w:rFonts w:ascii="宋体" w:hAnsi="宋体" w:hint="eastAsia"/>
                <w:color w:val="000000"/>
                <w:sz w:val="24"/>
                <w:szCs w:val="28"/>
              </w:rPr>
              <w:t>（调整前）</w:t>
            </w:r>
          </w:p>
        </w:tc>
        <w:tc>
          <w:tcPr>
            <w:tcW w:w="1701" w:type="dxa"/>
            <w:hideMark/>
          </w:tcPr>
          <w:p w:rsidR="00636BCA" w:rsidRPr="00636BCA" w:rsidRDefault="00636BCA" w:rsidP="00D7180D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 w:rsidRPr="00636BCA">
              <w:rPr>
                <w:rFonts w:ascii="宋体" w:hAnsi="宋体" w:hint="eastAsia"/>
                <w:color w:val="000000"/>
                <w:sz w:val="24"/>
                <w:szCs w:val="28"/>
              </w:rPr>
              <w:t>客户</w:t>
            </w:r>
            <w:proofErr w:type="gramStart"/>
            <w:r w:rsidRPr="00636BCA">
              <w:rPr>
                <w:rFonts w:ascii="宋体" w:hAnsi="宋体" w:hint="eastAsia"/>
                <w:color w:val="000000"/>
                <w:sz w:val="24"/>
                <w:szCs w:val="28"/>
              </w:rPr>
              <w:t>预期年化收益率</w:t>
            </w:r>
            <w:proofErr w:type="gramEnd"/>
          </w:p>
          <w:p w:rsidR="00636BCA" w:rsidRPr="00636BCA" w:rsidRDefault="00636BCA" w:rsidP="00D7180D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 w:rsidRPr="00636BCA">
              <w:rPr>
                <w:rFonts w:ascii="宋体" w:hAnsi="宋体" w:hint="eastAsia"/>
                <w:color w:val="000000"/>
                <w:sz w:val="24"/>
                <w:szCs w:val="28"/>
              </w:rPr>
              <w:t>（调整后）</w:t>
            </w:r>
          </w:p>
        </w:tc>
      </w:tr>
      <w:tr w:rsidR="00636BCA" w:rsidRPr="00636BCA" w:rsidTr="00636BCA">
        <w:trPr>
          <w:trHeight w:val="538"/>
          <w:jc w:val="center"/>
        </w:trPr>
        <w:tc>
          <w:tcPr>
            <w:tcW w:w="2610" w:type="dxa"/>
            <w:vAlign w:val="center"/>
            <w:hideMark/>
          </w:tcPr>
          <w:p w:rsidR="00636BCA" w:rsidRPr="00636BCA" w:rsidRDefault="00636BCA" w:rsidP="00D7180D">
            <w:pPr>
              <w:jc w:val="left"/>
              <w:rPr>
                <w:rFonts w:ascii="宋体" w:hAnsi="宋体"/>
                <w:color w:val="000000"/>
                <w:sz w:val="24"/>
                <w:szCs w:val="28"/>
              </w:rPr>
            </w:pPr>
            <w:r w:rsidRPr="00636BCA">
              <w:rPr>
                <w:rFonts w:ascii="宋体" w:hAnsi="宋体" w:hint="eastAsia"/>
                <w:color w:val="000000"/>
                <w:sz w:val="24"/>
                <w:szCs w:val="28"/>
              </w:rPr>
              <w:t>“乾元—满溢”360天</w:t>
            </w:r>
          </w:p>
        </w:tc>
        <w:tc>
          <w:tcPr>
            <w:tcW w:w="1723" w:type="dxa"/>
            <w:vAlign w:val="center"/>
            <w:hideMark/>
          </w:tcPr>
          <w:p w:rsidR="00636BCA" w:rsidRPr="00636BCA" w:rsidRDefault="00636BCA" w:rsidP="00D7180D">
            <w:pPr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 w:rsidRPr="00636BCA">
              <w:rPr>
                <w:rFonts w:ascii="宋体" w:hAnsi="宋体" w:hint="eastAsia"/>
                <w:color w:val="000000"/>
                <w:sz w:val="24"/>
                <w:szCs w:val="28"/>
              </w:rPr>
              <w:t>4.45%</w:t>
            </w:r>
          </w:p>
        </w:tc>
        <w:tc>
          <w:tcPr>
            <w:tcW w:w="1701" w:type="dxa"/>
            <w:vAlign w:val="center"/>
            <w:hideMark/>
          </w:tcPr>
          <w:p w:rsidR="00636BCA" w:rsidRPr="00636BCA" w:rsidRDefault="00636BCA" w:rsidP="00D7180D">
            <w:pPr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 w:rsidRPr="00636BCA">
              <w:rPr>
                <w:rFonts w:ascii="宋体" w:hAnsi="宋体" w:hint="eastAsia"/>
                <w:color w:val="000000"/>
                <w:sz w:val="24"/>
                <w:szCs w:val="28"/>
              </w:rPr>
              <w:t>4.20%</w:t>
            </w:r>
          </w:p>
        </w:tc>
      </w:tr>
    </w:tbl>
    <w:p w:rsidR="00636BCA" w:rsidRPr="00636BCA" w:rsidRDefault="00636BCA" w:rsidP="00636BCA">
      <w:pPr>
        <w:adjustRightInd w:val="0"/>
        <w:snapToGrid w:val="0"/>
        <w:spacing w:line="5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636BCA">
        <w:rPr>
          <w:rFonts w:ascii="宋体" w:hAnsi="宋体" w:hint="eastAsia"/>
          <w:color w:val="000000"/>
          <w:sz w:val="28"/>
          <w:szCs w:val="28"/>
        </w:rPr>
        <w:t>新客户</w:t>
      </w:r>
      <w:proofErr w:type="gramStart"/>
      <w:r w:rsidRPr="00636BCA">
        <w:rPr>
          <w:rFonts w:ascii="宋体" w:hAnsi="宋体" w:hint="eastAsia"/>
          <w:color w:val="000000"/>
          <w:sz w:val="28"/>
          <w:szCs w:val="28"/>
        </w:rPr>
        <w:t>预期年化收益率</w:t>
      </w:r>
      <w:proofErr w:type="gramEnd"/>
      <w:r w:rsidRPr="00636BCA">
        <w:rPr>
          <w:rFonts w:ascii="宋体" w:hAnsi="宋体" w:hint="eastAsia"/>
          <w:color w:val="000000"/>
          <w:sz w:val="28"/>
          <w:szCs w:val="28"/>
        </w:rPr>
        <w:t>于2018年10月25日（含）起执行。对于2018年10月25日（不含）前已经购买成功且未赎回的存量投资本金，其中封闭期内的份额仍按照购买确认日当日的客户</w:t>
      </w:r>
      <w:proofErr w:type="gramStart"/>
      <w:r w:rsidRPr="00636BCA">
        <w:rPr>
          <w:rFonts w:ascii="宋体" w:hAnsi="宋体" w:hint="eastAsia"/>
          <w:color w:val="000000"/>
          <w:sz w:val="28"/>
          <w:szCs w:val="28"/>
        </w:rPr>
        <w:t>预期年化收益率</w:t>
      </w:r>
      <w:proofErr w:type="gramEnd"/>
      <w:r w:rsidRPr="00636BCA">
        <w:rPr>
          <w:rFonts w:ascii="宋体" w:hAnsi="宋体" w:hint="eastAsia"/>
          <w:color w:val="000000"/>
          <w:sz w:val="28"/>
          <w:szCs w:val="28"/>
        </w:rPr>
        <w:t>计算投资收益，非封闭期内的份额从2018年10月25日（含）起按调整后的</w:t>
      </w:r>
      <w:proofErr w:type="gramStart"/>
      <w:r w:rsidRPr="00636BCA">
        <w:rPr>
          <w:rFonts w:ascii="宋体" w:hAnsi="宋体" w:hint="eastAsia"/>
          <w:color w:val="000000"/>
          <w:sz w:val="28"/>
          <w:szCs w:val="28"/>
        </w:rPr>
        <w:t>预期年化收益率</w:t>
      </w:r>
      <w:proofErr w:type="gramEnd"/>
      <w:r w:rsidRPr="00636BCA">
        <w:rPr>
          <w:rFonts w:ascii="宋体" w:hAnsi="宋体" w:hint="eastAsia"/>
          <w:color w:val="000000"/>
          <w:sz w:val="28"/>
          <w:szCs w:val="28"/>
        </w:rPr>
        <w:t>计算投资收益。2018年10月25日（含）后购买的部分自动执行调整后的客户</w:t>
      </w:r>
      <w:proofErr w:type="gramStart"/>
      <w:r w:rsidRPr="00636BCA">
        <w:rPr>
          <w:rFonts w:ascii="宋体" w:hAnsi="宋体" w:hint="eastAsia"/>
          <w:color w:val="000000"/>
          <w:sz w:val="28"/>
          <w:szCs w:val="28"/>
        </w:rPr>
        <w:t>预期年化收益率</w:t>
      </w:r>
      <w:proofErr w:type="gramEnd"/>
      <w:r w:rsidRPr="00636BCA">
        <w:rPr>
          <w:rFonts w:ascii="宋体" w:hAnsi="宋体" w:hint="eastAsia"/>
          <w:color w:val="000000"/>
          <w:sz w:val="28"/>
          <w:szCs w:val="28"/>
        </w:rPr>
        <w:t>。但前述情形下的最终投资收益均以我</w:t>
      </w:r>
      <w:proofErr w:type="gramStart"/>
      <w:r w:rsidRPr="00636BCA">
        <w:rPr>
          <w:rFonts w:ascii="宋体" w:hAnsi="宋体" w:hint="eastAsia"/>
          <w:color w:val="000000"/>
          <w:sz w:val="28"/>
          <w:szCs w:val="28"/>
        </w:rPr>
        <w:t>行最终</w:t>
      </w:r>
      <w:proofErr w:type="gramEnd"/>
      <w:r w:rsidRPr="00636BCA">
        <w:rPr>
          <w:rFonts w:ascii="宋体" w:hAnsi="宋体" w:hint="eastAsia"/>
          <w:color w:val="000000"/>
          <w:sz w:val="28"/>
          <w:szCs w:val="28"/>
        </w:rPr>
        <w:t>支付的</w:t>
      </w:r>
      <w:proofErr w:type="gramStart"/>
      <w:r w:rsidRPr="00636BCA">
        <w:rPr>
          <w:rFonts w:ascii="宋体" w:hAnsi="宋体" w:hint="eastAsia"/>
          <w:color w:val="000000"/>
          <w:sz w:val="28"/>
          <w:szCs w:val="28"/>
        </w:rPr>
        <w:t>实际年化收益率</w:t>
      </w:r>
      <w:proofErr w:type="gramEnd"/>
      <w:r w:rsidRPr="00636BCA">
        <w:rPr>
          <w:rFonts w:ascii="宋体" w:hAnsi="宋体" w:hint="eastAsia"/>
          <w:color w:val="000000"/>
          <w:sz w:val="28"/>
          <w:szCs w:val="28"/>
        </w:rPr>
        <w:t>为准。</w:t>
      </w:r>
    </w:p>
    <w:p w:rsidR="005F3876" w:rsidRPr="00AA7A73" w:rsidRDefault="005F3876" w:rsidP="005F3876">
      <w:pPr>
        <w:ind w:firstLineChars="200" w:firstLine="56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AA7A73">
        <w:rPr>
          <w:rFonts w:asciiTheme="majorEastAsia" w:eastAsiaTheme="majorEastAsia" w:hAnsiTheme="maj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555806" w:rsidRPr="00EE774A" w:rsidRDefault="00555806" w:rsidP="00555806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555806" w:rsidRPr="00EE774A" w:rsidRDefault="00555806" w:rsidP="00555806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lastRenderedPageBreak/>
        <w:t>（一）投资组合的基本情况</w:t>
      </w:r>
    </w:p>
    <w:p w:rsidR="00555806" w:rsidRPr="00EE774A" w:rsidRDefault="003E5570" w:rsidP="00555806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0DD22407" wp14:editId="5321A0DE">
            <wp:extent cx="3133725" cy="1762125"/>
            <wp:effectExtent l="0" t="0" r="9525" b="952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55806" w:rsidRPr="00EE774A" w:rsidRDefault="00555806" w:rsidP="00555806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555806" w:rsidRPr="00EE774A" w:rsidRDefault="003E5570" w:rsidP="00555806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321EE9DE" wp14:editId="55F7AB95">
            <wp:extent cx="3781425" cy="2133600"/>
            <wp:effectExtent l="0" t="0" r="9525" b="19050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85789" w:rsidRPr="00EE774A" w:rsidRDefault="00585789" w:rsidP="00585789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C75BE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C75BE9">
        <w:rPr>
          <w:rFonts w:ascii="宋体" w:hAnsi="宋体"/>
          <w:b/>
          <w:color w:val="000000"/>
          <w:sz w:val="28"/>
          <w:szCs w:val="28"/>
        </w:rPr>
        <w:t>）</w:t>
      </w:r>
      <w:r w:rsidRPr="007F5088">
        <w:rPr>
          <w:rFonts w:ascii="宋体" w:hAnsi="宋体" w:hint="eastAsia"/>
          <w:b/>
          <w:color w:val="000000"/>
          <w:sz w:val="28"/>
          <w:szCs w:val="28"/>
        </w:rPr>
        <w:t>融资类资产的行业占</w:t>
      </w:r>
      <w:proofErr w:type="gramStart"/>
      <w:r w:rsidRPr="007F5088">
        <w:rPr>
          <w:rFonts w:ascii="宋体" w:hAnsi="宋体" w:hint="eastAsia"/>
          <w:b/>
          <w:color w:val="000000"/>
          <w:sz w:val="28"/>
          <w:szCs w:val="28"/>
        </w:rPr>
        <w:t>比构成</w:t>
      </w:r>
      <w:proofErr w:type="gramEnd"/>
      <w:r w:rsidRPr="007F5088">
        <w:rPr>
          <w:rFonts w:ascii="宋体" w:hAnsi="宋体" w:hint="eastAsia"/>
          <w:b/>
          <w:color w:val="000000"/>
          <w:sz w:val="28"/>
          <w:szCs w:val="28"/>
        </w:rPr>
        <w:t>及当月增减变化情况</w:t>
      </w:r>
    </w:p>
    <w:p w:rsidR="00555806" w:rsidRPr="005622F6" w:rsidRDefault="003E5570" w:rsidP="00555806">
      <w:pPr>
        <w:ind w:right="-58"/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03919328" wp14:editId="2D1C9C1F">
            <wp:extent cx="5095875" cy="1619250"/>
            <wp:effectExtent l="0" t="0" r="9525" b="19050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55806" w:rsidRPr="00EE774A" w:rsidRDefault="00555806" w:rsidP="00555806">
      <w:pPr>
        <w:spacing w:line="480" w:lineRule="exact"/>
        <w:ind w:firstLineChars="200" w:firstLine="562"/>
        <w:outlineLvl w:val="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三、</w:t>
      </w:r>
      <w:bookmarkStart w:id="0" w:name="_GoBack"/>
      <w:bookmarkEnd w:id="0"/>
      <w:r w:rsidRPr="00EE774A">
        <w:rPr>
          <w:rFonts w:ascii="宋体" w:hAnsi="宋体" w:hint="eastAsia"/>
          <w:b/>
          <w:color w:val="000000"/>
          <w:sz w:val="28"/>
          <w:szCs w:val="28"/>
        </w:rPr>
        <w:t>产品整体运作情况</w:t>
      </w:r>
    </w:p>
    <w:p w:rsidR="00555806" w:rsidRPr="00EE774A" w:rsidRDefault="00555806" w:rsidP="00555806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555806" w:rsidRPr="00EE774A" w:rsidRDefault="00555806" w:rsidP="00555806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555806" w:rsidRPr="00EE774A" w:rsidRDefault="00555806" w:rsidP="00555806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555806" w:rsidRPr="00EE774A" w:rsidRDefault="00555806" w:rsidP="00555806">
      <w:pPr>
        <w:spacing w:line="480" w:lineRule="exact"/>
        <w:ind w:right="362" w:firstLineChars="2050" w:firstLine="5740"/>
        <w:jc w:val="righ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lastRenderedPageBreak/>
        <w:t>中国建设银行</w:t>
      </w:r>
    </w:p>
    <w:p w:rsidR="00812F4C" w:rsidRDefault="00812F4C" w:rsidP="00555806">
      <w:pPr>
        <w:spacing w:line="480" w:lineRule="exact"/>
        <w:ind w:right="222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2018</w:t>
      </w:r>
      <w:r w:rsidR="00555806">
        <w:rPr>
          <w:rFonts w:ascii="宋体" w:hAnsi="宋体" w:hint="eastAsia"/>
          <w:color w:val="000000"/>
          <w:sz w:val="28"/>
          <w:szCs w:val="28"/>
        </w:rPr>
        <w:t>年</w:t>
      </w:r>
      <w:r w:rsidR="006647B4">
        <w:rPr>
          <w:rFonts w:ascii="宋体" w:hAnsi="宋体" w:hint="eastAsia"/>
          <w:color w:val="000000"/>
          <w:sz w:val="28"/>
          <w:szCs w:val="28"/>
        </w:rPr>
        <w:t>11</w:t>
      </w:r>
      <w:r w:rsidR="00555806">
        <w:rPr>
          <w:rFonts w:ascii="宋体" w:hAnsi="宋体" w:hint="eastAsia"/>
          <w:color w:val="000000"/>
          <w:sz w:val="28"/>
          <w:szCs w:val="28"/>
        </w:rPr>
        <w:t>月</w:t>
      </w:r>
      <w:r w:rsidR="006647B4">
        <w:rPr>
          <w:rFonts w:ascii="宋体" w:hAnsi="宋体" w:hint="eastAsia"/>
          <w:color w:val="000000"/>
          <w:sz w:val="28"/>
          <w:szCs w:val="28"/>
        </w:rPr>
        <w:t>5</w:t>
      </w:r>
      <w:r w:rsidR="00555806">
        <w:rPr>
          <w:rFonts w:ascii="宋体" w:hAnsi="宋体" w:hint="eastAsia"/>
          <w:color w:val="000000"/>
          <w:sz w:val="28"/>
          <w:szCs w:val="28"/>
        </w:rPr>
        <w:t>日</w:t>
      </w:r>
    </w:p>
    <w:p w:rsidR="00812F4C" w:rsidRDefault="00812F4C">
      <w:pPr>
        <w:widowControl/>
        <w:jc w:val="left"/>
        <w:rPr>
          <w:rFonts w:ascii="宋体" w:hAnsi="宋体"/>
          <w:color w:val="000000"/>
          <w:sz w:val="28"/>
          <w:szCs w:val="28"/>
        </w:rPr>
      </w:pPr>
    </w:p>
    <w:sectPr w:rsidR="00812F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CED" w:rsidRDefault="008D7CED" w:rsidP="00555806">
      <w:r>
        <w:separator/>
      </w:r>
    </w:p>
  </w:endnote>
  <w:endnote w:type="continuationSeparator" w:id="0">
    <w:p w:rsidR="008D7CED" w:rsidRDefault="008D7CED" w:rsidP="00555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CED" w:rsidRDefault="008D7CED" w:rsidP="00555806">
      <w:r>
        <w:separator/>
      </w:r>
    </w:p>
  </w:footnote>
  <w:footnote w:type="continuationSeparator" w:id="0">
    <w:p w:rsidR="008D7CED" w:rsidRDefault="008D7CED" w:rsidP="005558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745"/>
    <w:rsid w:val="000244A9"/>
    <w:rsid w:val="00027CA4"/>
    <w:rsid w:val="00035553"/>
    <w:rsid w:val="00043A93"/>
    <w:rsid w:val="000838BE"/>
    <w:rsid w:val="000F1972"/>
    <w:rsid w:val="00116B32"/>
    <w:rsid w:val="00147EF2"/>
    <w:rsid w:val="00153C80"/>
    <w:rsid w:val="00176DC2"/>
    <w:rsid w:val="001F3745"/>
    <w:rsid w:val="002168C5"/>
    <w:rsid w:val="002422F7"/>
    <w:rsid w:val="00251734"/>
    <w:rsid w:val="002C5ACF"/>
    <w:rsid w:val="002D1B79"/>
    <w:rsid w:val="00327744"/>
    <w:rsid w:val="00330D72"/>
    <w:rsid w:val="00331DB9"/>
    <w:rsid w:val="003351DE"/>
    <w:rsid w:val="00350CA0"/>
    <w:rsid w:val="003746D6"/>
    <w:rsid w:val="003D3431"/>
    <w:rsid w:val="003E5570"/>
    <w:rsid w:val="003F522D"/>
    <w:rsid w:val="004038E1"/>
    <w:rsid w:val="004501CB"/>
    <w:rsid w:val="004530A2"/>
    <w:rsid w:val="00466FD6"/>
    <w:rsid w:val="0048724C"/>
    <w:rsid w:val="0050099A"/>
    <w:rsid w:val="005128D3"/>
    <w:rsid w:val="0051717D"/>
    <w:rsid w:val="005451D6"/>
    <w:rsid w:val="00555806"/>
    <w:rsid w:val="00585789"/>
    <w:rsid w:val="005F3876"/>
    <w:rsid w:val="00636BCA"/>
    <w:rsid w:val="006427FB"/>
    <w:rsid w:val="006467B6"/>
    <w:rsid w:val="006647B4"/>
    <w:rsid w:val="006A4C87"/>
    <w:rsid w:val="006B1A67"/>
    <w:rsid w:val="006D39FC"/>
    <w:rsid w:val="006E1C93"/>
    <w:rsid w:val="00714E24"/>
    <w:rsid w:val="00766041"/>
    <w:rsid w:val="00772013"/>
    <w:rsid w:val="007C756B"/>
    <w:rsid w:val="007E7C71"/>
    <w:rsid w:val="007F19B6"/>
    <w:rsid w:val="007F1F77"/>
    <w:rsid w:val="007F4074"/>
    <w:rsid w:val="00812F4C"/>
    <w:rsid w:val="00861D6E"/>
    <w:rsid w:val="0087744F"/>
    <w:rsid w:val="00895061"/>
    <w:rsid w:val="008D7CED"/>
    <w:rsid w:val="008F4690"/>
    <w:rsid w:val="0093717C"/>
    <w:rsid w:val="00986389"/>
    <w:rsid w:val="0099059D"/>
    <w:rsid w:val="009A286B"/>
    <w:rsid w:val="009A3F6A"/>
    <w:rsid w:val="009B3EE0"/>
    <w:rsid w:val="009B4592"/>
    <w:rsid w:val="009C2160"/>
    <w:rsid w:val="009D7DB3"/>
    <w:rsid w:val="00A03A58"/>
    <w:rsid w:val="00A5443F"/>
    <w:rsid w:val="00A66F45"/>
    <w:rsid w:val="00A96539"/>
    <w:rsid w:val="00AB4688"/>
    <w:rsid w:val="00AD1596"/>
    <w:rsid w:val="00B0121E"/>
    <w:rsid w:val="00B2730B"/>
    <w:rsid w:val="00B367FB"/>
    <w:rsid w:val="00B42290"/>
    <w:rsid w:val="00B74E10"/>
    <w:rsid w:val="00B84614"/>
    <w:rsid w:val="00BB4884"/>
    <w:rsid w:val="00BD0A8B"/>
    <w:rsid w:val="00BE07DB"/>
    <w:rsid w:val="00C06E73"/>
    <w:rsid w:val="00C126E9"/>
    <w:rsid w:val="00C20C53"/>
    <w:rsid w:val="00C8676C"/>
    <w:rsid w:val="00C911CE"/>
    <w:rsid w:val="00C92281"/>
    <w:rsid w:val="00D00191"/>
    <w:rsid w:val="00D45DD6"/>
    <w:rsid w:val="00DA0B62"/>
    <w:rsid w:val="00DF18BA"/>
    <w:rsid w:val="00E96A4B"/>
    <w:rsid w:val="00EF4DB4"/>
    <w:rsid w:val="00F330B9"/>
    <w:rsid w:val="00F35F05"/>
    <w:rsid w:val="00F434F8"/>
    <w:rsid w:val="00F45971"/>
    <w:rsid w:val="00F50F30"/>
    <w:rsid w:val="00FB4F73"/>
    <w:rsid w:val="00FB7C02"/>
    <w:rsid w:val="00FE27C3"/>
    <w:rsid w:val="00FF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80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58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58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58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580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5580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55806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03555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0355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80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58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58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58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580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5580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55806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03555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0355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77515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5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5308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7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1031%20&#25353;&#21608;&#25259;&#38706;\2018&#24180;10&#26376;31&#26085;&#36164;&#20135;&#27719;&#24635;&#3492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1031%20&#25353;&#21608;&#25259;&#38706;\2018&#24180;10&#26376;31&#26085;&#36164;&#20135;&#27719;&#24635;&#3492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1031%20&#25353;&#21608;&#25259;&#38706;\2018&#24180;10&#26376;31&#26085;&#36164;&#20135;&#27719;&#24635;&#3492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6615965687215928E-2"/>
          <c:y val="6.6436343034213238E-2"/>
          <c:w val="0.64213635490685617"/>
          <c:h val="0.81287731104096572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'2018年10月'!$A$378:$A$379</c:f>
              <c:strCache>
                <c:ptCount val="2"/>
                <c:pt idx="0">
                  <c:v>融资类</c:v>
                </c:pt>
                <c:pt idx="1">
                  <c:v>现金及债券类</c:v>
                </c:pt>
              </c:strCache>
            </c:strRef>
          </c:cat>
          <c:val>
            <c:numRef>
              <c:f>'2018年10月'!$B$378:$B$379</c:f>
              <c:numCache>
                <c:formatCode>0.00%</c:formatCode>
                <c:ptCount val="2"/>
                <c:pt idx="0">
                  <c:v>0.6707935412333027</c:v>
                </c:pt>
                <c:pt idx="1">
                  <c:v>0.3292064587666973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'2018年10月'!$A$387:$A$390</c:f>
              <c:strCache>
                <c:ptCount val="4"/>
                <c:pt idx="0">
                  <c:v>A</c:v>
                </c:pt>
                <c:pt idx="1">
                  <c:v>A+</c:v>
                </c:pt>
                <c:pt idx="2">
                  <c:v>AA</c:v>
                </c:pt>
                <c:pt idx="3">
                  <c:v>AA-</c:v>
                </c:pt>
              </c:strCache>
            </c:strRef>
          </c:cat>
          <c:val>
            <c:numRef>
              <c:f>'2018年10月'!$B$387:$B$390</c:f>
              <c:numCache>
                <c:formatCode>0.00%</c:formatCode>
                <c:ptCount val="4"/>
                <c:pt idx="0">
                  <c:v>0.24390243902439024</c:v>
                </c:pt>
                <c:pt idx="1">
                  <c:v>0.17560975609756097</c:v>
                </c:pt>
                <c:pt idx="2">
                  <c:v>0.21463414634146341</c:v>
                </c:pt>
                <c:pt idx="3">
                  <c:v>0.36585365853658536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7278887335344765"/>
          <c:y val="8.6274509803921567E-2"/>
          <c:w val="0.70178938847597316"/>
          <c:h val="0.717241932993669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'2018年10月'!$B$393</c:f>
              <c:strCache>
                <c:ptCount val="1"/>
                <c:pt idx="0">
                  <c:v>10月各行业</c:v>
                </c:pt>
              </c:strCache>
            </c:strRef>
          </c:tx>
          <c:invertIfNegative val="0"/>
          <c:cat>
            <c:strRef>
              <c:f>'2018年10月'!$A$395:$A$397</c:f>
              <c:strCache>
                <c:ptCount val="3"/>
                <c:pt idx="0">
                  <c:v>制造业</c:v>
                </c:pt>
                <c:pt idx="1">
                  <c:v>租赁和商务服务业</c:v>
                </c:pt>
                <c:pt idx="2">
                  <c:v>电力、热力、燃气及水生产和供应业</c:v>
                </c:pt>
              </c:strCache>
            </c:strRef>
          </c:cat>
          <c:val>
            <c:numRef>
              <c:f>'2018年10月'!$B$395:$B$397</c:f>
              <c:numCache>
                <c:formatCode>0.00%</c:formatCode>
                <c:ptCount val="3"/>
                <c:pt idx="0">
                  <c:v>3.6585365853658534E-2</c:v>
                </c:pt>
                <c:pt idx="1">
                  <c:v>0.78048780487804881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'2018年10月'!$C$393</c:f>
              <c:strCache>
                <c:ptCount val="1"/>
                <c:pt idx="0">
                  <c:v>9月各行业</c:v>
                </c:pt>
              </c:strCache>
            </c:strRef>
          </c:tx>
          <c:invertIfNegative val="0"/>
          <c:cat>
            <c:strRef>
              <c:f>'2018年10月'!$A$395:$A$397</c:f>
              <c:strCache>
                <c:ptCount val="3"/>
                <c:pt idx="0">
                  <c:v>制造业</c:v>
                </c:pt>
                <c:pt idx="1">
                  <c:v>租赁和商务服务业</c:v>
                </c:pt>
                <c:pt idx="2">
                  <c:v>电力、热力、燃气及水生产和供应业</c:v>
                </c:pt>
              </c:strCache>
            </c:strRef>
          </c:cat>
          <c:val>
            <c:numRef>
              <c:f>'2018年10月'!$C$395:$C$397</c:f>
              <c:numCache>
                <c:formatCode>0.00%</c:formatCode>
                <c:ptCount val="3"/>
                <c:pt idx="0">
                  <c:v>3.5294117647058823E-2</c:v>
                </c:pt>
                <c:pt idx="1">
                  <c:v>0.75294117647058822</c:v>
                </c:pt>
                <c:pt idx="2">
                  <c:v>3.5294117647058823E-2</c:v>
                </c:pt>
              </c:numCache>
            </c:numRef>
          </c:val>
        </c:ser>
        <c:ser>
          <c:idx val="2"/>
          <c:order val="2"/>
          <c:tx>
            <c:strRef>
              <c:f>'2018年10月'!$D$393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'2018年10月'!$A$395:$A$397</c:f>
              <c:strCache>
                <c:ptCount val="3"/>
                <c:pt idx="0">
                  <c:v>制造业</c:v>
                </c:pt>
                <c:pt idx="1">
                  <c:v>租赁和商务服务业</c:v>
                </c:pt>
                <c:pt idx="2">
                  <c:v>电力、热力、燃气及水生产和供应业</c:v>
                </c:pt>
              </c:strCache>
            </c:strRef>
          </c:cat>
          <c:val>
            <c:numRef>
              <c:f>'2018年10月'!$D$395:$D$397</c:f>
              <c:numCache>
                <c:formatCode>0.00%</c:formatCode>
                <c:ptCount val="3"/>
                <c:pt idx="0">
                  <c:v>1.2912482065997113E-3</c:v>
                </c:pt>
                <c:pt idx="1">
                  <c:v>2.7546628407460583E-2</c:v>
                </c:pt>
                <c:pt idx="2">
                  <c:v>-3.5294117647058823E-2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2875392"/>
        <c:axId val="112876928"/>
      </c:barChart>
      <c:catAx>
        <c:axId val="11287539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12876928"/>
        <c:crosses val="autoZero"/>
        <c:auto val="1"/>
        <c:lblAlgn val="ctr"/>
        <c:lblOffset val="100"/>
        <c:noMultiLvlLbl val="0"/>
      </c:catAx>
      <c:valAx>
        <c:axId val="112876928"/>
        <c:scaling>
          <c:orientation val="minMax"/>
          <c:min val="-0.30000000000000004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128753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930106213358844"/>
          <c:y val="3.6279141577891E-2"/>
          <c:w val="0.15465293006598479"/>
          <c:h val="0.42548031496062988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陈策</cp:lastModifiedBy>
  <cp:revision>3</cp:revision>
  <dcterms:created xsi:type="dcterms:W3CDTF">2018-11-02T09:55:00Z</dcterms:created>
  <dcterms:modified xsi:type="dcterms:W3CDTF">2018-11-02T09:56:00Z</dcterms:modified>
</cp:coreProperties>
</file>